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60D3" w14:textId="60CDF322" w:rsidR="0004196D" w:rsidRPr="00A721F2" w:rsidRDefault="00A721F2" w:rsidP="0004196D">
      <w:pPr>
        <w:widowControl/>
        <w:adjustRightInd w:val="0"/>
        <w:jc w:val="center"/>
        <w:rPr>
          <w:rFonts w:ascii="Cambria" w:eastAsiaTheme="minorHAnsi" w:hAnsi="Cambria" w:cs="Times-Roman"/>
          <w:b/>
          <w:bCs/>
          <w:sz w:val="24"/>
          <w:szCs w:val="24"/>
          <w:u w:val="single"/>
        </w:rPr>
      </w:pPr>
      <w:r w:rsidRPr="00A721F2">
        <w:rPr>
          <w:rFonts w:ascii="Cambria" w:eastAsiaTheme="minorHAnsi" w:hAnsi="Cambria" w:cs="Times-Roman"/>
          <w:b/>
          <w:bCs/>
          <w:sz w:val="24"/>
          <w:szCs w:val="24"/>
          <w:u w:val="single"/>
        </w:rPr>
        <w:t xml:space="preserve">Rules for Evidence Essay </w:t>
      </w:r>
    </w:p>
    <w:p w14:paraId="0FF9CBB6" w14:textId="77777777" w:rsidR="0004196D" w:rsidRPr="00A721F2" w:rsidRDefault="0004196D" w:rsidP="007B3A93">
      <w:pPr>
        <w:widowControl/>
        <w:adjustRightInd w:val="0"/>
        <w:rPr>
          <w:rFonts w:ascii="Cambria" w:eastAsiaTheme="minorHAnsi" w:hAnsi="Cambria" w:cs="Times-Roman"/>
          <w:sz w:val="24"/>
          <w:szCs w:val="24"/>
        </w:rPr>
      </w:pPr>
    </w:p>
    <w:p w14:paraId="467B47A7" w14:textId="58D0C428" w:rsidR="00453BF9" w:rsidRDefault="00453BF9" w:rsidP="007B3A93">
      <w:pPr>
        <w:widowControl/>
        <w:adjustRightInd w:val="0"/>
        <w:rPr>
          <w:rFonts w:ascii="Cambria" w:eastAsiaTheme="minorHAnsi" w:hAnsi="Cambria" w:cs="Times-Roman"/>
          <w:sz w:val="24"/>
          <w:szCs w:val="24"/>
        </w:rPr>
      </w:pPr>
      <w:r w:rsidRPr="00453BF9">
        <w:rPr>
          <w:rFonts w:ascii="Cambria" w:eastAsiaTheme="minorHAnsi" w:hAnsi="Cambria" w:cs="Times-Roman"/>
          <w:b/>
          <w:bCs/>
          <w:sz w:val="24"/>
          <w:szCs w:val="24"/>
        </w:rPr>
        <w:t>Impeachment and methods</w:t>
      </w:r>
      <w:r>
        <w:rPr>
          <w:rFonts w:ascii="Cambria" w:eastAsiaTheme="minorHAnsi" w:hAnsi="Cambria" w:cs="Times-Roman"/>
          <w:sz w:val="24"/>
          <w:szCs w:val="24"/>
        </w:rPr>
        <w:t>:</w:t>
      </w:r>
    </w:p>
    <w:p w14:paraId="6A724ABB" w14:textId="77777777" w:rsidR="00453BF9" w:rsidRDefault="00453BF9" w:rsidP="007B3A93">
      <w:pPr>
        <w:widowControl/>
        <w:adjustRightInd w:val="0"/>
        <w:rPr>
          <w:rFonts w:ascii="Cambria" w:eastAsiaTheme="minorHAnsi" w:hAnsi="Cambria" w:cs="Times-Roman"/>
          <w:sz w:val="24"/>
          <w:szCs w:val="24"/>
        </w:rPr>
      </w:pPr>
    </w:p>
    <w:p w14:paraId="1685CF25" w14:textId="0278AC2F" w:rsidR="007B3A93" w:rsidRPr="00A721F2" w:rsidRDefault="007B3A93" w:rsidP="007B3A93">
      <w:pPr>
        <w:widowControl/>
        <w:adjustRightInd w:val="0"/>
        <w:rPr>
          <w:rFonts w:ascii="Cambria" w:eastAsiaTheme="minorHAnsi" w:hAnsi="Cambria" w:cs="Times-Roman"/>
          <w:sz w:val="24"/>
          <w:szCs w:val="24"/>
        </w:rPr>
      </w:pPr>
      <w:r w:rsidRPr="00A721F2">
        <w:rPr>
          <w:rFonts w:ascii="Cambria" w:eastAsiaTheme="minorHAnsi" w:hAnsi="Cambria" w:cs="Times-Roman"/>
          <w:sz w:val="24"/>
          <w:szCs w:val="24"/>
        </w:rPr>
        <w:t>A witness’s credibility may be attacked by any party, including the party calling her. For</w:t>
      </w:r>
    </w:p>
    <w:p w14:paraId="59001F44" w14:textId="4C51F578" w:rsidR="007B3A93" w:rsidRPr="00A721F2" w:rsidRDefault="007B3A93" w:rsidP="00A721F2">
      <w:pPr>
        <w:widowControl/>
        <w:adjustRightInd w:val="0"/>
        <w:rPr>
          <w:rFonts w:ascii="Cambria" w:eastAsiaTheme="minorHAnsi" w:hAnsi="Cambria" w:cs="Times-Roman"/>
          <w:sz w:val="24"/>
          <w:szCs w:val="24"/>
        </w:rPr>
      </w:pPr>
      <w:r w:rsidRPr="00A721F2">
        <w:rPr>
          <w:rFonts w:ascii="Cambria" w:eastAsiaTheme="minorHAnsi" w:hAnsi="Cambria" w:cs="Times-Roman"/>
          <w:sz w:val="24"/>
          <w:szCs w:val="24"/>
        </w:rPr>
        <w:t>the purpose of impeaching the credibility of a witness, a party may show that the witness has, on</w:t>
      </w:r>
      <w:r w:rsidR="00A721F2">
        <w:rPr>
          <w:rFonts w:ascii="Cambria" w:eastAsiaTheme="minorHAnsi" w:hAnsi="Cambria" w:cs="Times-Roman"/>
          <w:sz w:val="24"/>
          <w:szCs w:val="24"/>
        </w:rPr>
        <w:t xml:space="preserve"> </w:t>
      </w:r>
      <w:r w:rsidRPr="00A721F2">
        <w:rPr>
          <w:rFonts w:ascii="Cambria" w:eastAsiaTheme="minorHAnsi" w:hAnsi="Cambria" w:cs="Times-Roman"/>
          <w:sz w:val="24"/>
          <w:szCs w:val="24"/>
        </w:rPr>
        <w:t>another occasion, made statements that are inconsistent with some material part of her present</w:t>
      </w:r>
      <w:r w:rsidR="00A721F2">
        <w:rPr>
          <w:rFonts w:ascii="Cambria" w:eastAsiaTheme="minorHAnsi" w:hAnsi="Cambria" w:cs="Times-Roman"/>
          <w:sz w:val="24"/>
          <w:szCs w:val="24"/>
        </w:rPr>
        <w:t xml:space="preserve"> </w:t>
      </w:r>
      <w:r w:rsidRPr="00A721F2">
        <w:rPr>
          <w:rFonts w:ascii="Cambria" w:eastAsiaTheme="minorHAnsi" w:hAnsi="Cambria" w:cs="Times-Roman"/>
          <w:sz w:val="24"/>
          <w:szCs w:val="24"/>
        </w:rPr>
        <w:t>testimony. Under the Federal Rules, an inconsistent statement may be proved by either examination of the witness or by extrinsic evidence</w:t>
      </w:r>
      <w:r w:rsidRPr="00A721F2">
        <w:rPr>
          <w:rFonts w:ascii="Cambria" w:eastAsiaTheme="minorHAnsi" w:hAnsi="Cambria" w:cs="Times-Roman"/>
          <w:sz w:val="24"/>
          <w:szCs w:val="24"/>
        </w:rPr>
        <w:t>.</w:t>
      </w:r>
    </w:p>
    <w:p w14:paraId="7773399B" w14:textId="77777777" w:rsidR="007B3A93" w:rsidRPr="00A721F2" w:rsidRDefault="007B3A93" w:rsidP="007B3A93">
      <w:pPr>
        <w:rPr>
          <w:rFonts w:ascii="Cambria" w:eastAsiaTheme="minorHAnsi" w:hAnsi="Cambria" w:cs="Times-Roman"/>
          <w:sz w:val="24"/>
          <w:szCs w:val="24"/>
        </w:rPr>
      </w:pPr>
    </w:p>
    <w:p w14:paraId="5D192606" w14:textId="74BC50C3" w:rsidR="007B3A93" w:rsidRDefault="007B3A93" w:rsidP="007B3A93">
      <w:pPr>
        <w:rPr>
          <w:rFonts w:ascii="Cambria" w:eastAsiaTheme="minorHAnsi" w:hAnsi="Cambria" w:cs="Times-Roman"/>
          <w:sz w:val="24"/>
          <w:szCs w:val="24"/>
        </w:rPr>
      </w:pPr>
      <w:r w:rsidRPr="00A721F2">
        <w:rPr>
          <w:rFonts w:ascii="Cambria" w:eastAsiaTheme="minorHAnsi" w:hAnsi="Cambria" w:cs="Times-Roman"/>
          <w:sz w:val="24"/>
          <w:szCs w:val="24"/>
        </w:rPr>
        <w:t xml:space="preserve">To prove a prior inconsistent statement by extrinsic evidence, the witness generally must be given an opportunity at some point to explain or deny the allegedly inconsistent statement, and the statement must be relevant to some issue in the case. </w:t>
      </w:r>
    </w:p>
    <w:p w14:paraId="572B3877" w14:textId="77777777" w:rsidR="00453BF9" w:rsidRDefault="00453BF9" w:rsidP="007B3A93">
      <w:pPr>
        <w:rPr>
          <w:rFonts w:ascii="Cambria" w:eastAsiaTheme="minorHAnsi" w:hAnsi="Cambria" w:cs="Times-Roman"/>
          <w:sz w:val="24"/>
          <w:szCs w:val="24"/>
        </w:rPr>
      </w:pPr>
    </w:p>
    <w:p w14:paraId="26059D3D" w14:textId="39D9C9FC" w:rsidR="00453BF9" w:rsidRPr="00A721F2" w:rsidRDefault="00453BF9" w:rsidP="007B3A93">
      <w:pPr>
        <w:rPr>
          <w:rFonts w:ascii="Cambria" w:eastAsiaTheme="minorHAnsi" w:hAnsi="Cambria" w:cs="Times-Roman"/>
          <w:sz w:val="24"/>
          <w:szCs w:val="24"/>
        </w:rPr>
      </w:pPr>
      <w:r w:rsidRPr="00453BF9">
        <w:rPr>
          <w:rFonts w:ascii="Cambria" w:eastAsiaTheme="minorHAnsi" w:hAnsi="Cambria" w:cs="Times-Roman"/>
          <w:b/>
          <w:bCs/>
          <w:sz w:val="24"/>
          <w:szCs w:val="24"/>
        </w:rPr>
        <w:t>Hearsay</w:t>
      </w:r>
      <w:r>
        <w:rPr>
          <w:rFonts w:ascii="Cambria" w:eastAsiaTheme="minorHAnsi" w:hAnsi="Cambria" w:cs="Times-Roman"/>
          <w:sz w:val="24"/>
          <w:szCs w:val="24"/>
        </w:rPr>
        <w:t>:</w:t>
      </w:r>
    </w:p>
    <w:p w14:paraId="5F4D6D35" w14:textId="77777777" w:rsidR="007B3A93" w:rsidRPr="00A721F2" w:rsidRDefault="007B3A93" w:rsidP="007B3A93">
      <w:pPr>
        <w:rPr>
          <w:rFonts w:ascii="Cambria" w:eastAsiaTheme="minorHAnsi" w:hAnsi="Cambria" w:cs="Times-Roman"/>
          <w:sz w:val="24"/>
          <w:szCs w:val="24"/>
        </w:rPr>
      </w:pPr>
    </w:p>
    <w:p w14:paraId="35B0C45B" w14:textId="77777777" w:rsidR="007B3A93" w:rsidRPr="00A721F2" w:rsidRDefault="007B3A93" w:rsidP="007B3A93">
      <w:pPr>
        <w:widowControl/>
        <w:adjustRightInd w:val="0"/>
        <w:rPr>
          <w:rFonts w:ascii="Cambria" w:eastAsiaTheme="minorHAnsi" w:hAnsi="Cambria" w:cs="Times-Roman"/>
          <w:sz w:val="24"/>
          <w:szCs w:val="24"/>
        </w:rPr>
      </w:pPr>
      <w:r w:rsidRPr="00A721F2">
        <w:rPr>
          <w:rFonts w:ascii="Cambria" w:eastAsiaTheme="minorHAnsi" w:hAnsi="Cambria" w:cs="Times-Roman"/>
          <w:sz w:val="24"/>
          <w:szCs w:val="24"/>
        </w:rPr>
        <w:t>Hearsay is an out-of-court statement offered into evidence to prove the truth of the matter</w:t>
      </w:r>
    </w:p>
    <w:p w14:paraId="24818632" w14:textId="7BC28A3C" w:rsidR="007B3A93" w:rsidRDefault="007B3A93" w:rsidP="007B3A93">
      <w:pPr>
        <w:widowControl/>
        <w:adjustRightInd w:val="0"/>
        <w:rPr>
          <w:rFonts w:ascii="Cambria" w:eastAsiaTheme="minorHAnsi" w:hAnsi="Cambria" w:cs="Times-Roman"/>
          <w:sz w:val="24"/>
          <w:szCs w:val="24"/>
        </w:rPr>
      </w:pPr>
      <w:r w:rsidRPr="00A721F2">
        <w:rPr>
          <w:rFonts w:ascii="Cambria" w:eastAsiaTheme="minorHAnsi" w:hAnsi="Cambria" w:cs="Times-Roman"/>
          <w:sz w:val="24"/>
          <w:szCs w:val="24"/>
        </w:rPr>
        <w:t>asserted. Hearsay is not admissible unless it falls within an exception. However, a declarant’s</w:t>
      </w:r>
      <w:r w:rsidR="00A721F2">
        <w:rPr>
          <w:rFonts w:ascii="Cambria" w:eastAsiaTheme="minorHAnsi" w:hAnsi="Cambria" w:cs="Times-Roman"/>
          <w:sz w:val="24"/>
          <w:szCs w:val="24"/>
        </w:rPr>
        <w:t xml:space="preserve"> </w:t>
      </w:r>
      <w:r w:rsidRPr="00A721F2">
        <w:rPr>
          <w:rFonts w:ascii="Cambria" w:eastAsiaTheme="minorHAnsi" w:hAnsi="Cambria" w:cs="Times-Roman"/>
          <w:sz w:val="24"/>
          <w:szCs w:val="24"/>
        </w:rPr>
        <w:t>statement identifying a person as someone the declarant perceived earlier is not hearsay if the</w:t>
      </w:r>
      <w:r w:rsidR="00A721F2">
        <w:rPr>
          <w:rFonts w:ascii="Cambria" w:eastAsiaTheme="minorHAnsi" w:hAnsi="Cambria" w:cs="Times-Roman"/>
          <w:sz w:val="24"/>
          <w:szCs w:val="24"/>
        </w:rPr>
        <w:t xml:space="preserve"> </w:t>
      </w:r>
      <w:r w:rsidRPr="00A721F2">
        <w:rPr>
          <w:rFonts w:ascii="Cambria" w:eastAsiaTheme="minorHAnsi" w:hAnsi="Cambria" w:cs="Times-Roman"/>
          <w:sz w:val="24"/>
          <w:szCs w:val="24"/>
        </w:rPr>
        <w:t>declarant testifies at trial and is subject to cross-examination about the statement. Photo identifications are within the scope of this rule, and the prior identification need not have been made at a formal proceeding or under oath.   However, where a prior inconsistent statement was made under penalty of perjury at a prior trial, hearing, or other proceeding, or in a deposition,</w:t>
      </w:r>
      <w:r w:rsidR="00A721F2">
        <w:rPr>
          <w:rFonts w:ascii="Cambria" w:eastAsiaTheme="minorHAnsi" w:hAnsi="Cambria" w:cs="Times-Roman"/>
          <w:sz w:val="24"/>
          <w:szCs w:val="24"/>
        </w:rPr>
        <w:t xml:space="preserve"> </w:t>
      </w:r>
      <w:r w:rsidRPr="00A721F2">
        <w:rPr>
          <w:rFonts w:ascii="Cambria" w:eastAsiaTheme="minorHAnsi" w:hAnsi="Cambria" w:cs="Times-Roman"/>
          <w:sz w:val="24"/>
          <w:szCs w:val="24"/>
        </w:rPr>
        <w:t xml:space="preserve">it is admissible </w:t>
      </w:r>
      <w:proofErr w:type="spellStart"/>
      <w:r w:rsidRPr="00A721F2">
        <w:rPr>
          <w:rFonts w:ascii="Cambria" w:eastAsiaTheme="minorHAnsi" w:hAnsi="Cambria" w:cs="Times-Roman"/>
          <w:sz w:val="24"/>
          <w:szCs w:val="24"/>
        </w:rPr>
        <w:t>nonhearsay</w:t>
      </w:r>
      <w:proofErr w:type="spellEnd"/>
      <w:r w:rsidRPr="00A721F2">
        <w:rPr>
          <w:rFonts w:ascii="Cambria" w:eastAsiaTheme="minorHAnsi" w:hAnsi="Cambria" w:cs="Times-Roman"/>
          <w:sz w:val="24"/>
          <w:szCs w:val="24"/>
        </w:rPr>
        <w:t>.</w:t>
      </w:r>
    </w:p>
    <w:p w14:paraId="2B3C2CA2" w14:textId="77777777" w:rsidR="00453BF9" w:rsidRDefault="00453BF9" w:rsidP="007B3A93">
      <w:pPr>
        <w:widowControl/>
        <w:adjustRightInd w:val="0"/>
        <w:rPr>
          <w:rFonts w:ascii="Cambria" w:eastAsiaTheme="minorHAnsi" w:hAnsi="Cambria" w:cs="Times-Roman"/>
          <w:sz w:val="24"/>
          <w:szCs w:val="24"/>
        </w:rPr>
      </w:pPr>
    </w:p>
    <w:p w14:paraId="2810FE2C" w14:textId="215EFB98" w:rsidR="00453BF9" w:rsidRPr="00A721F2" w:rsidRDefault="00E94801" w:rsidP="007B3A93">
      <w:pPr>
        <w:widowControl/>
        <w:adjustRightInd w:val="0"/>
        <w:rPr>
          <w:rFonts w:ascii="Cambria" w:eastAsiaTheme="minorHAnsi" w:hAnsi="Cambria" w:cs="Times-Roman"/>
          <w:sz w:val="24"/>
          <w:szCs w:val="24"/>
        </w:rPr>
      </w:pPr>
      <w:r w:rsidRPr="00E94801">
        <w:rPr>
          <w:rFonts w:ascii="Cambria" w:eastAsiaTheme="minorHAnsi" w:hAnsi="Cambria" w:cs="Times-Roman"/>
          <w:b/>
          <w:bCs/>
          <w:sz w:val="24"/>
          <w:szCs w:val="24"/>
        </w:rPr>
        <w:t>Character evidence</w:t>
      </w:r>
      <w:r>
        <w:rPr>
          <w:rFonts w:ascii="Cambria" w:eastAsiaTheme="minorHAnsi" w:hAnsi="Cambria" w:cs="Times-Roman"/>
          <w:sz w:val="24"/>
          <w:szCs w:val="24"/>
        </w:rPr>
        <w:t>:</w:t>
      </w:r>
    </w:p>
    <w:p w14:paraId="5C0E8FD5" w14:textId="77777777" w:rsidR="007B3A93" w:rsidRPr="00A721F2" w:rsidRDefault="007B3A93" w:rsidP="007B3A93">
      <w:pPr>
        <w:rPr>
          <w:rFonts w:ascii="Cambria" w:eastAsiaTheme="minorHAnsi" w:hAnsi="Cambria" w:cs="Times-Roman"/>
          <w:sz w:val="24"/>
          <w:szCs w:val="24"/>
        </w:rPr>
      </w:pPr>
    </w:p>
    <w:p w14:paraId="12EF2209" w14:textId="55C363E9" w:rsidR="007B3A93" w:rsidRPr="00A721F2" w:rsidRDefault="007B3A93" w:rsidP="007B3A93">
      <w:pPr>
        <w:widowControl/>
        <w:adjustRightInd w:val="0"/>
        <w:rPr>
          <w:rFonts w:ascii="Cambria" w:eastAsiaTheme="minorHAnsi" w:hAnsi="Cambria" w:cs="Times-Roman"/>
          <w:sz w:val="24"/>
          <w:szCs w:val="24"/>
        </w:rPr>
      </w:pPr>
      <w:r w:rsidRPr="00A721F2">
        <w:rPr>
          <w:rFonts w:ascii="Cambria" w:eastAsiaTheme="minorHAnsi" w:hAnsi="Cambria" w:cs="Times-Roman"/>
          <w:sz w:val="24"/>
          <w:szCs w:val="24"/>
        </w:rPr>
        <w:t>Character evidence is generally inadmissible to prove that a person acted in conformity with a</w:t>
      </w:r>
      <w:r w:rsidR="00A721F2">
        <w:rPr>
          <w:rFonts w:ascii="Cambria" w:eastAsiaTheme="minorHAnsi" w:hAnsi="Cambria" w:cs="Times-Roman"/>
          <w:sz w:val="24"/>
          <w:szCs w:val="24"/>
        </w:rPr>
        <w:t xml:space="preserve"> </w:t>
      </w:r>
      <w:r w:rsidRPr="00A721F2">
        <w:rPr>
          <w:rFonts w:ascii="Cambria" w:eastAsiaTheme="minorHAnsi" w:hAnsi="Cambria" w:cs="Times-Roman"/>
          <w:sz w:val="24"/>
          <w:szCs w:val="24"/>
        </w:rPr>
        <w:t>particular character trait. However, a criminal defendant may introduce evidence of a relevant</w:t>
      </w:r>
      <w:r w:rsidR="00A721F2">
        <w:rPr>
          <w:rFonts w:ascii="Cambria" w:eastAsiaTheme="minorHAnsi" w:hAnsi="Cambria" w:cs="Times-Roman"/>
          <w:sz w:val="24"/>
          <w:szCs w:val="24"/>
        </w:rPr>
        <w:t xml:space="preserve"> </w:t>
      </w:r>
      <w:r w:rsidRPr="00A721F2">
        <w:rPr>
          <w:rFonts w:ascii="Cambria" w:eastAsiaTheme="minorHAnsi" w:hAnsi="Cambria" w:cs="Times-Roman"/>
          <w:sz w:val="24"/>
          <w:szCs w:val="24"/>
        </w:rPr>
        <w:t>character trait to show his innocence. A witness may testify to the defendant’s good reputation</w:t>
      </w:r>
      <w:r w:rsidR="00A721F2">
        <w:rPr>
          <w:rFonts w:ascii="Cambria" w:eastAsiaTheme="minorHAnsi" w:hAnsi="Cambria" w:cs="Times-Roman"/>
          <w:sz w:val="24"/>
          <w:szCs w:val="24"/>
        </w:rPr>
        <w:t xml:space="preserve"> </w:t>
      </w:r>
      <w:r w:rsidRPr="00A721F2">
        <w:rPr>
          <w:rFonts w:ascii="Cambria" w:eastAsiaTheme="minorHAnsi" w:hAnsi="Cambria" w:cs="Times-Roman"/>
          <w:sz w:val="24"/>
          <w:szCs w:val="24"/>
        </w:rPr>
        <w:t>(or that he has heard nothing bad</w:t>
      </w:r>
      <w:r w:rsidR="00E94801" w:rsidRPr="00A721F2">
        <w:rPr>
          <w:rFonts w:ascii="Cambria" w:eastAsiaTheme="minorHAnsi" w:hAnsi="Cambria" w:cs="Times-Roman"/>
          <w:sz w:val="24"/>
          <w:szCs w:val="24"/>
        </w:rPr>
        <w:t>) or</w:t>
      </w:r>
      <w:r w:rsidRPr="00A721F2">
        <w:rPr>
          <w:rFonts w:ascii="Cambria" w:eastAsiaTheme="minorHAnsi" w:hAnsi="Cambria" w:cs="Times-Roman"/>
          <w:sz w:val="24"/>
          <w:szCs w:val="24"/>
        </w:rPr>
        <w:t xml:space="preserve"> may give his personal opinion concerning that trait of the</w:t>
      </w:r>
      <w:r w:rsidR="00A721F2">
        <w:rPr>
          <w:rFonts w:ascii="Cambria" w:eastAsiaTheme="minorHAnsi" w:hAnsi="Cambria" w:cs="Times-Roman"/>
          <w:sz w:val="24"/>
          <w:szCs w:val="24"/>
        </w:rPr>
        <w:t xml:space="preserve"> </w:t>
      </w:r>
      <w:r w:rsidRPr="00A721F2">
        <w:rPr>
          <w:rFonts w:ascii="Cambria" w:eastAsiaTheme="minorHAnsi" w:hAnsi="Cambria" w:cs="Times-Roman"/>
          <w:sz w:val="24"/>
          <w:szCs w:val="24"/>
        </w:rPr>
        <w:t>defendant. However, the witness may not testify to specific acts of conduct of the defendant to</w:t>
      </w:r>
      <w:r w:rsidR="00A721F2">
        <w:rPr>
          <w:rFonts w:ascii="Cambria" w:eastAsiaTheme="minorHAnsi" w:hAnsi="Cambria" w:cs="Times-Roman"/>
          <w:sz w:val="24"/>
          <w:szCs w:val="24"/>
        </w:rPr>
        <w:t xml:space="preserve"> </w:t>
      </w:r>
      <w:r w:rsidRPr="00A721F2">
        <w:rPr>
          <w:rFonts w:ascii="Cambria" w:eastAsiaTheme="minorHAnsi" w:hAnsi="Cambria" w:cs="Times-Roman"/>
          <w:sz w:val="24"/>
          <w:szCs w:val="24"/>
        </w:rPr>
        <w:t>prove the trait in issue.</w:t>
      </w:r>
    </w:p>
    <w:p w14:paraId="7AF965EB" w14:textId="77777777" w:rsidR="007B3A93" w:rsidRPr="00A721F2" w:rsidRDefault="007B3A93" w:rsidP="007B3A93">
      <w:pPr>
        <w:widowControl/>
        <w:adjustRightInd w:val="0"/>
        <w:rPr>
          <w:rFonts w:ascii="Cambria" w:eastAsiaTheme="minorHAnsi" w:hAnsi="Cambria" w:cs="Times-Roman"/>
          <w:sz w:val="24"/>
          <w:szCs w:val="24"/>
        </w:rPr>
      </w:pPr>
    </w:p>
    <w:p w14:paraId="3F4BD59E" w14:textId="77777777" w:rsidR="007B3A93" w:rsidRPr="00A721F2" w:rsidRDefault="007B3A93" w:rsidP="007B3A93">
      <w:pPr>
        <w:rPr>
          <w:rFonts w:ascii="Cambria" w:eastAsiaTheme="minorHAnsi" w:hAnsi="Cambria" w:cs="Times-Roman"/>
          <w:sz w:val="24"/>
          <w:szCs w:val="24"/>
        </w:rPr>
      </w:pPr>
    </w:p>
    <w:p w14:paraId="28D495F6" w14:textId="77777777" w:rsidR="007B3A93" w:rsidRPr="00A721F2" w:rsidRDefault="007B3A93" w:rsidP="007B3A93">
      <w:pPr>
        <w:widowControl/>
        <w:adjustRightInd w:val="0"/>
        <w:rPr>
          <w:rFonts w:ascii="Cambria" w:eastAsiaTheme="minorHAnsi" w:hAnsi="Cambria" w:cs="Times-Roman"/>
          <w:sz w:val="24"/>
          <w:szCs w:val="24"/>
        </w:rPr>
      </w:pPr>
    </w:p>
    <w:p w14:paraId="0E11D4B0" w14:textId="77777777" w:rsidR="007B3A93" w:rsidRPr="00A721F2" w:rsidRDefault="007B3A93" w:rsidP="007B3A93">
      <w:pPr>
        <w:rPr>
          <w:rFonts w:ascii="Cambria" w:hAnsi="Cambria"/>
        </w:rPr>
      </w:pPr>
    </w:p>
    <w:sectPr w:rsidR="007B3A93" w:rsidRPr="00A72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93"/>
    <w:rsid w:val="0004196D"/>
    <w:rsid w:val="00453BF9"/>
    <w:rsid w:val="007B3A93"/>
    <w:rsid w:val="00842DEB"/>
    <w:rsid w:val="00A721F2"/>
    <w:rsid w:val="00E9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0E49"/>
  <w15:chartTrackingRefBased/>
  <w15:docId w15:val="{D5056F92-A13E-4C87-AB9B-C912F0DC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3A9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Paras</dc:creator>
  <cp:keywords/>
  <dc:description/>
  <cp:lastModifiedBy>Rachel Paras</cp:lastModifiedBy>
  <cp:revision>6</cp:revision>
  <dcterms:created xsi:type="dcterms:W3CDTF">2024-02-21T15:04:00Z</dcterms:created>
  <dcterms:modified xsi:type="dcterms:W3CDTF">2024-02-21T21:17:00Z</dcterms:modified>
</cp:coreProperties>
</file>